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Theme="majorEastAsia"/>
          <w:b/>
          <w:sz w:val="24"/>
        </w:rPr>
      </w:pPr>
      <w:bookmarkStart w:id="0" w:name="OLE_LINK16"/>
      <w:bookmarkStart w:id="1" w:name="OLE_LINK17"/>
      <w:bookmarkStart w:id="2" w:name="OLE_LINK15"/>
      <w:r>
        <w:rPr>
          <w:rFonts w:hint="eastAsia" w:eastAsiaTheme="majorEastAsia"/>
          <w:sz w:val="24"/>
        </w:rPr>
        <w:t xml:space="preserve">证券代码：300873         证券简称：海晨股份         公告编号：2023-053   </w:t>
      </w:r>
    </w:p>
    <w:p>
      <w:pPr>
        <w:spacing w:line="360" w:lineRule="auto"/>
        <w:jc w:val="center"/>
        <w:rPr>
          <w:rFonts w:ascii="宋体" w:hAnsi="宋体"/>
          <w:b/>
          <w:sz w:val="32"/>
          <w:szCs w:val="32"/>
        </w:rPr>
      </w:pPr>
      <w:r>
        <w:rPr>
          <w:rFonts w:hint="eastAsia" w:ascii="宋体" w:hAnsi="宋体"/>
          <w:b/>
          <w:sz w:val="32"/>
          <w:szCs w:val="32"/>
        </w:rPr>
        <w:t>江苏海晨物流股份有限公司</w:t>
      </w:r>
    </w:p>
    <w:p>
      <w:pPr>
        <w:spacing w:line="360" w:lineRule="auto"/>
        <w:jc w:val="center"/>
        <w:rPr>
          <w:rFonts w:ascii="宋体" w:hAnsi="宋体"/>
          <w:b/>
          <w:sz w:val="32"/>
          <w:szCs w:val="32"/>
        </w:rPr>
      </w:pPr>
      <w:r>
        <w:rPr>
          <w:rFonts w:hint="eastAsia" w:ascii="宋体" w:hAnsi="宋体"/>
          <w:b/>
          <w:sz w:val="32"/>
          <w:szCs w:val="32"/>
        </w:rPr>
        <w:t>关于调整部分募投项目实施进度的公告</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ind w:firstLine="450" w:firstLineChars="196"/>
              <w:rPr>
                <w:b/>
                <w:sz w:val="24"/>
              </w:rPr>
            </w:pPr>
            <w:r>
              <w:rPr>
                <w:rFonts w:hint="eastAsia" w:ascii="宋体" w:hAnsi="宋体" w:cs="宋体"/>
                <w:spacing w:val="-5"/>
                <w:sz w:val="24"/>
              </w:rPr>
              <w:t>本公司及董事会全体成员保证信息披露的内容真实、准确、完整，没有虚假记载、误导性陈述或重大遗漏。</w:t>
            </w:r>
          </w:p>
        </w:tc>
      </w:tr>
      <w:bookmarkEnd w:id="0"/>
      <w:bookmarkEnd w:id="1"/>
      <w:bookmarkEnd w:id="2"/>
    </w:tbl>
    <w:p>
      <w:pPr>
        <w:spacing w:before="156" w:beforeLines="50" w:after="156" w:afterLines="50" w:line="360" w:lineRule="auto"/>
        <w:ind w:firstLine="480" w:firstLineChars="200"/>
        <w:rPr>
          <w:sz w:val="24"/>
        </w:rPr>
      </w:pPr>
      <w:r>
        <w:rPr>
          <w:rFonts w:hint="eastAsia"/>
          <w:sz w:val="24"/>
        </w:rPr>
        <w:t>江苏海晨物流股份有限公司（以下简称“海晨股份”、“公司”）于2</w:t>
      </w:r>
      <w:r>
        <w:rPr>
          <w:sz w:val="24"/>
        </w:rPr>
        <w:t>02</w:t>
      </w:r>
      <w:r>
        <w:rPr>
          <w:rFonts w:hint="eastAsia"/>
          <w:sz w:val="24"/>
        </w:rPr>
        <w:t>3年8月25日召开了第三届董事会第十次会议、第三届监事会第十次会议，审议通过了《关于调整部分募投项目实施进度的议案》，结合募投项目的实际进展情况和公司经营规划，对部分募投项目实施进度进行调整，具体情况如下：</w:t>
      </w:r>
    </w:p>
    <w:p>
      <w:pPr>
        <w:spacing w:before="156" w:beforeLines="50" w:after="156" w:afterLines="50" w:line="360" w:lineRule="auto"/>
        <w:ind w:firstLine="482" w:firstLineChars="200"/>
        <w:outlineLvl w:val="0"/>
        <w:rPr>
          <w:b/>
          <w:bCs/>
          <w:sz w:val="24"/>
        </w:rPr>
      </w:pPr>
      <w:r>
        <w:rPr>
          <w:rFonts w:hint="eastAsia"/>
          <w:b/>
          <w:bCs/>
          <w:sz w:val="24"/>
        </w:rPr>
        <w:t>一、募集资金基本情况</w:t>
      </w:r>
    </w:p>
    <w:p>
      <w:pPr>
        <w:spacing w:line="360" w:lineRule="auto"/>
        <w:ind w:firstLine="480" w:firstLineChars="200"/>
        <w:rPr>
          <w:sz w:val="24"/>
        </w:rPr>
      </w:pPr>
      <w:r>
        <w:rPr>
          <w:rFonts w:hint="eastAsia"/>
          <w:sz w:val="24"/>
        </w:rPr>
        <w:t>根据中国证券监督管理委员会于2020年8月3日印发的“证监许可[2020]1645号”文《关于同意江苏海晨物流股份有限公司首次公开发行股票注册的批复》，公司向社会公众公开发行人民币普通股（A股）3</w:t>
      </w:r>
      <w:r>
        <w:rPr>
          <w:sz w:val="24"/>
        </w:rPr>
        <w:t>,</w:t>
      </w:r>
      <w:r>
        <w:rPr>
          <w:rFonts w:hint="eastAsia"/>
          <w:sz w:val="24"/>
        </w:rPr>
        <w:t>333</w:t>
      </w:r>
      <w:r>
        <w:rPr>
          <w:sz w:val="24"/>
        </w:rPr>
        <w:t>.</w:t>
      </w:r>
      <w:r>
        <w:rPr>
          <w:rFonts w:hint="eastAsia"/>
          <w:sz w:val="24"/>
        </w:rPr>
        <w:t>3334万股，发行价格30.72元/股，募集资金总额为102</w:t>
      </w:r>
      <w:r>
        <w:rPr>
          <w:sz w:val="24"/>
        </w:rPr>
        <w:t>,</w:t>
      </w:r>
      <w:r>
        <w:rPr>
          <w:rFonts w:hint="eastAsia"/>
          <w:sz w:val="24"/>
        </w:rPr>
        <w:t>400</w:t>
      </w:r>
      <w:r>
        <w:rPr>
          <w:sz w:val="24"/>
        </w:rPr>
        <w:t>.</w:t>
      </w:r>
      <w:r>
        <w:rPr>
          <w:rFonts w:hint="eastAsia"/>
          <w:sz w:val="24"/>
        </w:rPr>
        <w:t>0</w:t>
      </w:r>
      <w:r>
        <w:rPr>
          <w:sz w:val="24"/>
        </w:rPr>
        <w:t>0</w:t>
      </w:r>
      <w:r>
        <w:rPr>
          <w:rFonts w:hint="eastAsia"/>
          <w:sz w:val="24"/>
        </w:rPr>
        <w:t>万元，扣除发行费用后，公司募集资金净额为92,775</w:t>
      </w:r>
      <w:r>
        <w:rPr>
          <w:sz w:val="24"/>
        </w:rPr>
        <w:t>.</w:t>
      </w:r>
      <w:r>
        <w:rPr>
          <w:rFonts w:hint="eastAsia"/>
          <w:sz w:val="24"/>
        </w:rPr>
        <w:t>3</w:t>
      </w:r>
      <w:r>
        <w:rPr>
          <w:sz w:val="24"/>
        </w:rPr>
        <w:t>1</w:t>
      </w:r>
      <w:r>
        <w:rPr>
          <w:rFonts w:hint="eastAsia"/>
          <w:sz w:val="24"/>
        </w:rPr>
        <w:t>万元。上述资金到位情况业经众华会计师事务所（特殊普通合伙）验证，并出具“众会字（2020）6796号”验资报告。</w:t>
      </w:r>
    </w:p>
    <w:p>
      <w:pPr>
        <w:spacing w:line="360" w:lineRule="auto"/>
        <w:ind w:firstLine="480" w:firstLineChars="200"/>
        <w:rPr>
          <w:sz w:val="24"/>
        </w:rPr>
      </w:pPr>
      <w:r>
        <w:rPr>
          <w:rFonts w:hint="eastAsia"/>
          <w:sz w:val="24"/>
        </w:rPr>
        <w:t>公司对募集资金采用了专户存储制度，募集资金全部存放在经董事会批准设立的募集资金专项账户中，公司已与保荐机构、募集资金监管银行签订了《募集资金三方监管协议》、《募集资金专户存储四方监管协议》。</w:t>
      </w:r>
    </w:p>
    <w:p>
      <w:pPr>
        <w:spacing w:before="156" w:beforeLines="50" w:after="156" w:afterLines="50" w:line="360" w:lineRule="auto"/>
        <w:ind w:firstLine="482" w:firstLineChars="200"/>
        <w:outlineLvl w:val="0"/>
        <w:rPr>
          <w:b/>
          <w:bCs/>
          <w:sz w:val="24"/>
        </w:rPr>
      </w:pPr>
      <w:r>
        <w:rPr>
          <w:rFonts w:hint="eastAsia"/>
          <w:b/>
          <w:bCs/>
          <w:sz w:val="24"/>
        </w:rPr>
        <w:t>二、募集资金使用情况</w:t>
      </w:r>
    </w:p>
    <w:p>
      <w:pPr>
        <w:spacing w:line="360" w:lineRule="auto"/>
        <w:ind w:firstLine="480" w:firstLineChars="200"/>
        <w:rPr>
          <w:sz w:val="24"/>
        </w:rPr>
      </w:pPr>
      <w:r>
        <w:rPr>
          <w:rFonts w:hint="eastAsia"/>
          <w:sz w:val="24"/>
        </w:rPr>
        <w:t>根据《江苏海晨物流股份有限公司首次公开发行股票并在创业板上市招股说明书》中披露的募集资金投资项目，公司首次公开发行股票募集资金扣除发行费用后，将投资于以下项目：</w:t>
      </w:r>
    </w:p>
    <w:p>
      <w:pPr>
        <w:jc w:val="right"/>
        <w:rPr>
          <w:szCs w:val="21"/>
        </w:rPr>
      </w:pPr>
      <w:r>
        <w:rPr>
          <w:rFonts w:hint="eastAsia"/>
          <w:szCs w:val="21"/>
        </w:rPr>
        <w:t>单位：万元</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64"/>
        <w:gridCol w:w="2733"/>
        <w:gridCol w:w="1798"/>
        <w:gridCol w:w="1719"/>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3" w:type="pct"/>
            <w:shd w:val="clear" w:color="auto" w:fill="FFFFFF"/>
            <w:tcMar>
              <w:top w:w="75" w:type="dxa"/>
              <w:left w:w="75" w:type="dxa"/>
              <w:bottom w:w="75" w:type="dxa"/>
              <w:right w:w="75" w:type="dxa"/>
            </w:tcMar>
            <w:vAlign w:val="center"/>
          </w:tcPr>
          <w:p>
            <w:pPr>
              <w:widowControl/>
              <w:wordWrap w:val="0"/>
              <w:jc w:val="center"/>
              <w:rPr>
                <w:rFonts w:eastAsiaTheme="majorEastAsia"/>
                <w:b/>
                <w:bCs/>
                <w:color w:val="333333"/>
                <w:kern w:val="0"/>
                <w:szCs w:val="21"/>
              </w:rPr>
            </w:pPr>
            <w:r>
              <w:rPr>
                <w:rFonts w:eastAsiaTheme="majorEastAsia"/>
                <w:b/>
                <w:bCs/>
                <w:color w:val="333333"/>
                <w:kern w:val="0"/>
                <w:szCs w:val="21"/>
              </w:rPr>
              <w:t>序号</w:t>
            </w:r>
          </w:p>
        </w:tc>
        <w:tc>
          <w:tcPr>
            <w:tcW w:w="1584" w:type="pct"/>
            <w:shd w:val="clear" w:color="auto" w:fill="FFFFFF"/>
            <w:tcMar>
              <w:top w:w="75" w:type="dxa"/>
              <w:left w:w="75" w:type="dxa"/>
              <w:bottom w:w="75" w:type="dxa"/>
              <w:right w:w="75" w:type="dxa"/>
            </w:tcMar>
            <w:vAlign w:val="center"/>
          </w:tcPr>
          <w:p>
            <w:pPr>
              <w:widowControl/>
              <w:wordWrap w:val="0"/>
              <w:jc w:val="center"/>
              <w:rPr>
                <w:rFonts w:eastAsiaTheme="majorEastAsia"/>
                <w:b/>
                <w:bCs/>
                <w:color w:val="333333"/>
                <w:kern w:val="0"/>
                <w:szCs w:val="21"/>
              </w:rPr>
            </w:pPr>
            <w:r>
              <w:rPr>
                <w:rFonts w:eastAsiaTheme="majorEastAsia"/>
                <w:b/>
                <w:bCs/>
                <w:color w:val="333333"/>
                <w:kern w:val="0"/>
                <w:szCs w:val="21"/>
              </w:rPr>
              <w:t>项目名称</w:t>
            </w:r>
          </w:p>
        </w:tc>
        <w:tc>
          <w:tcPr>
            <w:tcW w:w="1042" w:type="pct"/>
            <w:shd w:val="clear" w:color="auto" w:fill="FFFFFF"/>
            <w:tcMar>
              <w:top w:w="75" w:type="dxa"/>
              <w:left w:w="75" w:type="dxa"/>
              <w:bottom w:w="75" w:type="dxa"/>
              <w:right w:w="75" w:type="dxa"/>
            </w:tcMar>
            <w:vAlign w:val="center"/>
          </w:tcPr>
          <w:p>
            <w:pPr>
              <w:widowControl/>
              <w:wordWrap w:val="0"/>
              <w:jc w:val="center"/>
              <w:rPr>
                <w:rFonts w:eastAsiaTheme="majorEastAsia"/>
                <w:b/>
                <w:bCs/>
                <w:color w:val="333333"/>
                <w:kern w:val="0"/>
                <w:szCs w:val="21"/>
              </w:rPr>
            </w:pPr>
            <w:r>
              <w:rPr>
                <w:rFonts w:eastAsiaTheme="majorEastAsia"/>
                <w:b/>
                <w:bCs/>
                <w:color w:val="333333"/>
                <w:kern w:val="0"/>
                <w:szCs w:val="21"/>
              </w:rPr>
              <w:t>项目总投资额</w:t>
            </w:r>
          </w:p>
        </w:tc>
        <w:tc>
          <w:tcPr>
            <w:tcW w:w="996" w:type="pct"/>
            <w:shd w:val="clear" w:color="auto" w:fill="FFFFFF"/>
            <w:tcMar>
              <w:top w:w="75" w:type="dxa"/>
              <w:left w:w="75" w:type="dxa"/>
              <w:bottom w:w="75" w:type="dxa"/>
              <w:right w:w="75" w:type="dxa"/>
            </w:tcMar>
            <w:vAlign w:val="center"/>
          </w:tcPr>
          <w:p>
            <w:pPr>
              <w:widowControl/>
              <w:wordWrap w:val="0"/>
              <w:jc w:val="center"/>
              <w:rPr>
                <w:rFonts w:eastAsiaTheme="majorEastAsia"/>
                <w:b/>
                <w:bCs/>
                <w:color w:val="333333"/>
                <w:kern w:val="0"/>
                <w:szCs w:val="21"/>
              </w:rPr>
            </w:pPr>
            <w:r>
              <w:rPr>
                <w:rFonts w:eastAsiaTheme="majorEastAsia"/>
                <w:b/>
                <w:bCs/>
                <w:color w:val="333333"/>
                <w:kern w:val="0"/>
                <w:szCs w:val="21"/>
              </w:rPr>
              <w:t>募集资金</w:t>
            </w:r>
            <w:r>
              <w:rPr>
                <w:rFonts w:hint="eastAsia" w:eastAsiaTheme="majorEastAsia"/>
                <w:b/>
                <w:bCs/>
                <w:color w:val="333333"/>
                <w:kern w:val="0"/>
                <w:szCs w:val="21"/>
              </w:rPr>
              <w:t>承诺</w:t>
            </w:r>
            <w:r>
              <w:rPr>
                <w:rFonts w:eastAsiaTheme="majorEastAsia"/>
                <w:b/>
                <w:bCs/>
                <w:color w:val="333333"/>
                <w:kern w:val="0"/>
                <w:szCs w:val="21"/>
              </w:rPr>
              <w:t>投资额</w:t>
            </w:r>
          </w:p>
        </w:tc>
        <w:tc>
          <w:tcPr>
            <w:tcW w:w="935" w:type="pct"/>
            <w:shd w:val="clear" w:color="auto" w:fill="FFFFFF"/>
          </w:tcPr>
          <w:p>
            <w:pPr>
              <w:widowControl/>
              <w:wordWrap w:val="0"/>
              <w:jc w:val="center"/>
              <w:rPr>
                <w:rFonts w:eastAsiaTheme="majorEastAsia"/>
                <w:b/>
                <w:bCs/>
                <w:color w:val="333333"/>
                <w:kern w:val="0"/>
                <w:szCs w:val="21"/>
              </w:rPr>
            </w:pPr>
            <w:r>
              <w:rPr>
                <w:rFonts w:hint="eastAsia" w:eastAsiaTheme="majorEastAsia"/>
                <w:b/>
                <w:bCs/>
                <w:color w:val="333333"/>
                <w:kern w:val="0"/>
                <w:szCs w:val="21"/>
              </w:rPr>
              <w:t>截至2</w:t>
            </w:r>
            <w:r>
              <w:rPr>
                <w:rFonts w:eastAsiaTheme="majorEastAsia"/>
                <w:b/>
                <w:bCs/>
                <w:color w:val="333333"/>
                <w:kern w:val="0"/>
                <w:szCs w:val="21"/>
              </w:rPr>
              <w:t>02</w:t>
            </w:r>
            <w:r>
              <w:rPr>
                <w:rFonts w:hint="eastAsia" w:eastAsiaTheme="majorEastAsia"/>
                <w:b/>
                <w:bCs/>
                <w:color w:val="333333"/>
                <w:kern w:val="0"/>
                <w:szCs w:val="21"/>
              </w:rPr>
              <w:t>3年6月3</w:t>
            </w:r>
            <w:r>
              <w:rPr>
                <w:rFonts w:eastAsiaTheme="majorEastAsia"/>
                <w:b/>
                <w:bCs/>
                <w:color w:val="333333"/>
                <w:kern w:val="0"/>
                <w:szCs w:val="21"/>
              </w:rPr>
              <w:t>0</w:t>
            </w:r>
            <w:r>
              <w:rPr>
                <w:rFonts w:hint="eastAsia" w:eastAsiaTheme="majorEastAsia"/>
                <w:b/>
                <w:bCs/>
                <w:color w:val="333333"/>
                <w:kern w:val="0"/>
                <w:szCs w:val="21"/>
              </w:rPr>
              <w:t>日已投入金额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443" w:type="pct"/>
            <w:shd w:val="clear" w:color="auto" w:fill="FFFFFF"/>
            <w:tcMar>
              <w:top w:w="75" w:type="dxa"/>
              <w:left w:w="75" w:type="dxa"/>
              <w:bottom w:w="75" w:type="dxa"/>
              <w:right w:w="75" w:type="dxa"/>
            </w:tcMar>
            <w:vAlign w:val="center"/>
          </w:tcPr>
          <w:p>
            <w:pPr>
              <w:widowControl/>
              <w:wordWrap w:val="0"/>
              <w:jc w:val="center"/>
              <w:rPr>
                <w:rFonts w:eastAsiaTheme="majorEastAsia"/>
                <w:color w:val="333333"/>
                <w:kern w:val="0"/>
                <w:szCs w:val="21"/>
              </w:rPr>
            </w:pPr>
            <w:r>
              <w:rPr>
                <w:rFonts w:eastAsiaTheme="majorEastAsia"/>
                <w:color w:val="333333"/>
                <w:kern w:val="0"/>
                <w:szCs w:val="21"/>
              </w:rPr>
              <w:t>1</w:t>
            </w:r>
          </w:p>
        </w:tc>
        <w:tc>
          <w:tcPr>
            <w:tcW w:w="1584" w:type="pct"/>
            <w:shd w:val="clear" w:color="auto" w:fill="FFFFFF"/>
            <w:tcMar>
              <w:top w:w="75" w:type="dxa"/>
              <w:left w:w="75" w:type="dxa"/>
              <w:bottom w:w="75" w:type="dxa"/>
              <w:right w:w="75" w:type="dxa"/>
            </w:tcMar>
            <w:vAlign w:val="center"/>
          </w:tcPr>
          <w:p>
            <w:pPr>
              <w:widowControl/>
              <w:wordWrap w:val="0"/>
              <w:jc w:val="center"/>
              <w:rPr>
                <w:rFonts w:eastAsiaTheme="majorEastAsia"/>
                <w:color w:val="333333"/>
                <w:kern w:val="0"/>
                <w:szCs w:val="21"/>
              </w:rPr>
            </w:pPr>
            <w:r>
              <w:rPr>
                <w:rFonts w:eastAsiaTheme="majorEastAsia"/>
                <w:color w:val="333333"/>
                <w:kern w:val="0"/>
                <w:szCs w:val="21"/>
              </w:rPr>
              <w:t>新建自动化仓库项目</w:t>
            </w:r>
          </w:p>
        </w:tc>
        <w:tc>
          <w:tcPr>
            <w:tcW w:w="1042"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13,800.00</w:t>
            </w:r>
          </w:p>
        </w:tc>
        <w:tc>
          <w:tcPr>
            <w:tcW w:w="996"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12,900.00</w:t>
            </w:r>
          </w:p>
        </w:tc>
        <w:tc>
          <w:tcPr>
            <w:tcW w:w="935" w:type="pct"/>
            <w:shd w:val="clear" w:color="auto" w:fill="FFFFFF"/>
            <w:vAlign w:val="center"/>
          </w:tcPr>
          <w:p>
            <w:pPr>
              <w:spacing w:line="320" w:lineRule="exact"/>
              <w:jc w:val="right"/>
              <w:rPr>
                <w:rFonts w:eastAsiaTheme="majorEastAsia"/>
                <w:color w:val="333333"/>
                <w:kern w:val="0"/>
                <w:szCs w:val="21"/>
              </w:rPr>
            </w:pPr>
            <w:r>
              <w:rPr>
                <w:rFonts w:hint="eastAsia"/>
                <w:bCs/>
                <w:szCs w:val="21"/>
              </w:rPr>
              <w:t>9,895.43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3" w:type="pct"/>
            <w:shd w:val="clear" w:color="auto" w:fill="FFFFFF"/>
            <w:tcMar>
              <w:top w:w="75" w:type="dxa"/>
              <w:left w:w="75" w:type="dxa"/>
              <w:bottom w:w="75" w:type="dxa"/>
              <w:right w:w="75" w:type="dxa"/>
            </w:tcMar>
            <w:vAlign w:val="center"/>
          </w:tcPr>
          <w:p>
            <w:pPr>
              <w:widowControl/>
              <w:wordWrap w:val="0"/>
              <w:jc w:val="center"/>
              <w:rPr>
                <w:rFonts w:eastAsiaTheme="majorEastAsia"/>
                <w:color w:val="333333"/>
                <w:kern w:val="0"/>
                <w:szCs w:val="21"/>
              </w:rPr>
            </w:pPr>
            <w:r>
              <w:rPr>
                <w:rFonts w:eastAsiaTheme="majorEastAsia"/>
                <w:color w:val="333333"/>
                <w:kern w:val="0"/>
                <w:szCs w:val="21"/>
              </w:rPr>
              <w:t>2</w:t>
            </w:r>
          </w:p>
        </w:tc>
        <w:tc>
          <w:tcPr>
            <w:tcW w:w="1584" w:type="pct"/>
            <w:shd w:val="clear" w:color="auto" w:fill="FFFFFF"/>
            <w:tcMar>
              <w:top w:w="75" w:type="dxa"/>
              <w:left w:w="75" w:type="dxa"/>
              <w:bottom w:w="75" w:type="dxa"/>
              <w:right w:w="75" w:type="dxa"/>
            </w:tcMar>
            <w:vAlign w:val="center"/>
          </w:tcPr>
          <w:p>
            <w:pPr>
              <w:widowControl/>
              <w:wordWrap w:val="0"/>
              <w:jc w:val="center"/>
              <w:rPr>
                <w:rFonts w:eastAsiaTheme="majorEastAsia"/>
                <w:color w:val="333333"/>
                <w:kern w:val="0"/>
                <w:szCs w:val="21"/>
              </w:rPr>
            </w:pPr>
            <w:r>
              <w:rPr>
                <w:rFonts w:eastAsiaTheme="majorEastAsia"/>
                <w:color w:val="333333"/>
                <w:kern w:val="0"/>
                <w:szCs w:val="21"/>
              </w:rPr>
              <w:t>合肥智慧物流基地一期建设项目</w:t>
            </w:r>
          </w:p>
        </w:tc>
        <w:tc>
          <w:tcPr>
            <w:tcW w:w="1042"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25,857.08</w:t>
            </w:r>
          </w:p>
        </w:tc>
        <w:tc>
          <w:tcPr>
            <w:tcW w:w="996"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25,857.08</w:t>
            </w:r>
          </w:p>
        </w:tc>
        <w:tc>
          <w:tcPr>
            <w:tcW w:w="935" w:type="pct"/>
            <w:shd w:val="clear" w:color="auto" w:fill="FFFFFF"/>
            <w:vAlign w:val="center"/>
          </w:tcPr>
          <w:p>
            <w:pPr>
              <w:spacing w:line="320" w:lineRule="exact"/>
              <w:jc w:val="right"/>
              <w:rPr>
                <w:rFonts w:eastAsiaTheme="majorEastAsia"/>
                <w:color w:val="333333"/>
                <w:kern w:val="0"/>
                <w:szCs w:val="21"/>
              </w:rPr>
            </w:pPr>
            <w:r>
              <w:rPr>
                <w:rFonts w:hint="eastAsia"/>
                <w:bCs/>
                <w:szCs w:val="21"/>
              </w:rPr>
              <w:t>19,438.42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3" w:type="pct"/>
            <w:shd w:val="clear" w:color="auto" w:fill="FFFFFF"/>
            <w:tcMar>
              <w:top w:w="75" w:type="dxa"/>
              <w:left w:w="75" w:type="dxa"/>
              <w:bottom w:w="75" w:type="dxa"/>
              <w:right w:w="75" w:type="dxa"/>
            </w:tcMar>
            <w:vAlign w:val="center"/>
          </w:tcPr>
          <w:p>
            <w:pPr>
              <w:widowControl/>
              <w:wordWrap w:val="0"/>
              <w:jc w:val="center"/>
              <w:rPr>
                <w:rFonts w:eastAsiaTheme="majorEastAsia"/>
                <w:color w:val="333333"/>
                <w:kern w:val="0"/>
                <w:szCs w:val="21"/>
              </w:rPr>
            </w:pPr>
            <w:r>
              <w:rPr>
                <w:rFonts w:eastAsiaTheme="majorEastAsia"/>
                <w:color w:val="333333"/>
                <w:kern w:val="0"/>
                <w:szCs w:val="21"/>
              </w:rPr>
              <w:t>3</w:t>
            </w:r>
          </w:p>
        </w:tc>
        <w:tc>
          <w:tcPr>
            <w:tcW w:w="1584" w:type="pct"/>
            <w:shd w:val="clear" w:color="auto" w:fill="FFFFFF"/>
            <w:tcMar>
              <w:top w:w="75" w:type="dxa"/>
              <w:left w:w="75" w:type="dxa"/>
              <w:bottom w:w="75" w:type="dxa"/>
              <w:right w:w="75" w:type="dxa"/>
            </w:tcMar>
            <w:vAlign w:val="center"/>
          </w:tcPr>
          <w:p>
            <w:pPr>
              <w:widowControl/>
              <w:wordWrap w:val="0"/>
              <w:jc w:val="center"/>
              <w:rPr>
                <w:rFonts w:eastAsiaTheme="majorEastAsia"/>
                <w:color w:val="333333"/>
                <w:kern w:val="0"/>
                <w:szCs w:val="21"/>
              </w:rPr>
            </w:pPr>
            <w:r>
              <w:rPr>
                <w:rFonts w:eastAsiaTheme="majorEastAsia"/>
                <w:color w:val="333333"/>
                <w:kern w:val="0"/>
                <w:szCs w:val="21"/>
              </w:rPr>
              <w:t>深圳研发中心项目</w:t>
            </w:r>
          </w:p>
        </w:tc>
        <w:tc>
          <w:tcPr>
            <w:tcW w:w="1042"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14,829.23</w:t>
            </w:r>
          </w:p>
        </w:tc>
        <w:tc>
          <w:tcPr>
            <w:tcW w:w="996"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14,829.23</w:t>
            </w:r>
          </w:p>
        </w:tc>
        <w:tc>
          <w:tcPr>
            <w:tcW w:w="935" w:type="pct"/>
            <w:shd w:val="clear" w:color="auto" w:fill="FFFFFF"/>
            <w:vAlign w:val="center"/>
          </w:tcPr>
          <w:p>
            <w:pPr>
              <w:spacing w:line="280" w:lineRule="exact"/>
              <w:jc w:val="right"/>
              <w:rPr>
                <w:rFonts w:eastAsiaTheme="majorEastAsia"/>
                <w:color w:val="333333"/>
                <w:kern w:val="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3" w:type="pct"/>
            <w:shd w:val="clear" w:color="auto" w:fill="FFFFFF"/>
            <w:tcMar>
              <w:top w:w="75" w:type="dxa"/>
              <w:left w:w="75" w:type="dxa"/>
              <w:bottom w:w="75" w:type="dxa"/>
              <w:right w:w="75" w:type="dxa"/>
            </w:tcMar>
            <w:vAlign w:val="center"/>
          </w:tcPr>
          <w:p>
            <w:pPr>
              <w:widowControl/>
              <w:wordWrap w:val="0"/>
              <w:jc w:val="center"/>
              <w:rPr>
                <w:rFonts w:eastAsiaTheme="majorEastAsia"/>
                <w:color w:val="333333"/>
                <w:kern w:val="0"/>
                <w:szCs w:val="21"/>
              </w:rPr>
            </w:pPr>
            <w:r>
              <w:rPr>
                <w:rFonts w:eastAsiaTheme="majorEastAsia"/>
                <w:color w:val="333333"/>
                <w:kern w:val="0"/>
                <w:szCs w:val="21"/>
              </w:rPr>
              <w:t>4</w:t>
            </w:r>
          </w:p>
        </w:tc>
        <w:tc>
          <w:tcPr>
            <w:tcW w:w="1584" w:type="pct"/>
            <w:shd w:val="clear" w:color="auto" w:fill="FFFFFF"/>
            <w:tcMar>
              <w:top w:w="75" w:type="dxa"/>
              <w:left w:w="75" w:type="dxa"/>
              <w:bottom w:w="75" w:type="dxa"/>
              <w:right w:w="75" w:type="dxa"/>
            </w:tcMar>
            <w:vAlign w:val="center"/>
          </w:tcPr>
          <w:p>
            <w:pPr>
              <w:widowControl/>
              <w:wordWrap w:val="0"/>
              <w:jc w:val="center"/>
              <w:rPr>
                <w:rFonts w:eastAsiaTheme="majorEastAsia"/>
                <w:color w:val="333333"/>
                <w:kern w:val="0"/>
                <w:szCs w:val="21"/>
              </w:rPr>
            </w:pPr>
            <w:r>
              <w:rPr>
                <w:rFonts w:eastAsiaTheme="majorEastAsia"/>
                <w:color w:val="333333"/>
                <w:kern w:val="0"/>
                <w:szCs w:val="21"/>
              </w:rPr>
              <w:t>补充流动资金</w:t>
            </w:r>
          </w:p>
        </w:tc>
        <w:tc>
          <w:tcPr>
            <w:tcW w:w="1042"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12,000.00</w:t>
            </w:r>
          </w:p>
        </w:tc>
        <w:tc>
          <w:tcPr>
            <w:tcW w:w="996"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12,000.00</w:t>
            </w:r>
          </w:p>
        </w:tc>
        <w:tc>
          <w:tcPr>
            <w:tcW w:w="935" w:type="pct"/>
            <w:shd w:val="clear" w:color="auto" w:fill="FFFFFF"/>
            <w:vAlign w:val="center"/>
          </w:tcPr>
          <w:p>
            <w:pPr>
              <w:spacing w:line="280" w:lineRule="exact"/>
              <w:jc w:val="right"/>
              <w:rPr>
                <w:rFonts w:eastAsiaTheme="majorEastAsia"/>
                <w:color w:val="333333"/>
                <w:kern w:val="0"/>
                <w:szCs w:val="21"/>
              </w:rPr>
            </w:pPr>
            <w:r>
              <w:rPr>
                <w:color w:val="000000"/>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027" w:type="pct"/>
            <w:gridSpan w:val="2"/>
            <w:shd w:val="clear" w:color="auto" w:fill="FFFFFF"/>
            <w:tcMar>
              <w:top w:w="75" w:type="dxa"/>
              <w:left w:w="75" w:type="dxa"/>
              <w:bottom w:w="75" w:type="dxa"/>
              <w:right w:w="75" w:type="dxa"/>
            </w:tcMar>
            <w:vAlign w:val="center"/>
          </w:tcPr>
          <w:p>
            <w:pPr>
              <w:widowControl/>
              <w:wordWrap w:val="0"/>
              <w:jc w:val="center"/>
              <w:rPr>
                <w:rFonts w:eastAsiaTheme="majorEastAsia"/>
                <w:b/>
                <w:bCs/>
                <w:color w:val="333333"/>
                <w:kern w:val="0"/>
                <w:szCs w:val="21"/>
              </w:rPr>
            </w:pPr>
            <w:r>
              <w:rPr>
                <w:rFonts w:eastAsiaTheme="majorEastAsia"/>
                <w:b/>
                <w:bCs/>
                <w:color w:val="333333"/>
                <w:kern w:val="0"/>
                <w:szCs w:val="21"/>
              </w:rPr>
              <w:t>合 计</w:t>
            </w:r>
          </w:p>
        </w:tc>
        <w:tc>
          <w:tcPr>
            <w:tcW w:w="1042"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b/>
                <w:bCs/>
                <w:color w:val="333333"/>
                <w:kern w:val="0"/>
                <w:szCs w:val="21"/>
              </w:rPr>
            </w:pPr>
            <w:r>
              <w:rPr>
                <w:rFonts w:eastAsiaTheme="majorEastAsia"/>
                <w:b/>
                <w:bCs/>
                <w:color w:val="333333"/>
                <w:kern w:val="0"/>
                <w:szCs w:val="21"/>
              </w:rPr>
              <w:t>66,486.31</w:t>
            </w:r>
          </w:p>
        </w:tc>
        <w:tc>
          <w:tcPr>
            <w:tcW w:w="996" w:type="pct"/>
            <w:shd w:val="clear" w:color="auto" w:fill="FFFFFF"/>
            <w:tcMar>
              <w:top w:w="75" w:type="dxa"/>
              <w:left w:w="75" w:type="dxa"/>
              <w:bottom w:w="75" w:type="dxa"/>
              <w:right w:w="75" w:type="dxa"/>
            </w:tcMar>
            <w:vAlign w:val="center"/>
          </w:tcPr>
          <w:p>
            <w:pPr>
              <w:widowControl/>
              <w:wordWrap w:val="0"/>
              <w:overflowPunct w:val="0"/>
              <w:adjustRightInd w:val="0"/>
              <w:snapToGrid w:val="0"/>
              <w:jc w:val="right"/>
              <w:rPr>
                <w:rFonts w:eastAsiaTheme="majorEastAsia"/>
                <w:b/>
                <w:bCs/>
                <w:color w:val="333333"/>
                <w:kern w:val="0"/>
                <w:szCs w:val="21"/>
              </w:rPr>
            </w:pPr>
            <w:r>
              <w:rPr>
                <w:rFonts w:eastAsiaTheme="majorEastAsia"/>
                <w:b/>
                <w:bCs/>
                <w:color w:val="333333"/>
                <w:kern w:val="0"/>
                <w:szCs w:val="21"/>
              </w:rPr>
              <w:t>65,586.31</w:t>
            </w:r>
          </w:p>
        </w:tc>
        <w:tc>
          <w:tcPr>
            <w:tcW w:w="935" w:type="pct"/>
            <w:shd w:val="clear" w:color="auto" w:fill="FFFFFF"/>
            <w:vAlign w:val="center"/>
          </w:tcPr>
          <w:p>
            <w:pPr>
              <w:spacing w:line="280" w:lineRule="exact"/>
              <w:jc w:val="right"/>
              <w:rPr>
                <w:rFonts w:eastAsiaTheme="majorEastAsia"/>
                <w:b/>
                <w:bCs/>
                <w:color w:val="333333"/>
                <w:kern w:val="0"/>
                <w:szCs w:val="21"/>
              </w:rPr>
            </w:pPr>
            <w:r>
              <w:rPr>
                <w:rFonts w:hint="eastAsia"/>
                <w:b/>
                <w:bCs/>
                <w:szCs w:val="21"/>
              </w:rPr>
              <w:t>41,333.85</w:t>
            </w:r>
          </w:p>
        </w:tc>
      </w:tr>
    </w:tbl>
    <w:p>
      <w:pPr>
        <w:widowControl w:val="0"/>
        <w:autoSpaceDE w:val="0"/>
        <w:autoSpaceDN w:val="0"/>
        <w:adjustRightInd w:val="0"/>
        <w:spacing w:line="240" w:lineRule="auto"/>
        <w:jc w:val="both"/>
        <w:rPr>
          <w:rFonts w:hint="eastAsia" w:ascii="宋体" w:hAnsi="宋体" w:eastAsia="宋体" w:cs="宋体"/>
          <w:szCs w:val="21"/>
        </w:rPr>
      </w:pPr>
      <w:bookmarkStart w:id="3" w:name="_GoBack"/>
      <w:bookmarkEnd w:id="3"/>
      <w:r>
        <w:rPr>
          <w:rFonts w:hint="eastAsia" w:ascii="宋体" w:hAnsi="宋体" w:eastAsia="宋体" w:cs="宋体"/>
          <w:szCs w:val="21"/>
        </w:rPr>
        <w:t>注：公司首次公开发行股票实际募集资金净额为92,775.31万元，其中超募资金为27,189.00万元。公司于2020年8月28日召开第二届董事会第六次会议、第二届监事会第五次会议，审议通过《关于使用部分超募资金永久性补充流动资金的议案》，上述议案经公司2020年9月15日召开的2020年第二次临时股东大会审议通过，同意公司使用超募资金8,156.00万元永久补充流动资金，公司于2020年9月21日实施完毕。公司于2022年8月25日召开第三届董事会第五次会议、第三届监事会第四次会议，审议通过了《关于使用超募资金投资南方智能仓库技改项目的议案》，上述议案经公司2022年9月14日召开的2022年第四次临时股东大会审议通过，同意公司将剩余超募资金用于该项目。</w:t>
      </w:r>
    </w:p>
    <w:p>
      <w:pPr>
        <w:spacing w:before="156" w:beforeLines="50" w:after="156" w:afterLines="50" w:line="360" w:lineRule="auto"/>
        <w:ind w:firstLine="482" w:firstLineChars="200"/>
        <w:outlineLvl w:val="0"/>
        <w:rPr>
          <w:b/>
          <w:bCs/>
          <w:sz w:val="24"/>
        </w:rPr>
      </w:pPr>
      <w:r>
        <w:rPr>
          <w:rFonts w:hint="eastAsia"/>
          <w:b/>
          <w:bCs/>
          <w:sz w:val="24"/>
        </w:rPr>
        <w:t>二、拟调整募投项目基本情况及本次调整情况</w:t>
      </w:r>
    </w:p>
    <w:p>
      <w:pPr>
        <w:spacing w:before="156" w:beforeLines="50" w:after="156" w:afterLines="50" w:line="360" w:lineRule="auto"/>
        <w:ind w:firstLine="482" w:firstLineChars="200"/>
        <w:outlineLvl w:val="1"/>
        <w:rPr>
          <w:rFonts w:eastAsiaTheme="minorEastAsia"/>
          <w:b/>
          <w:bCs/>
          <w:sz w:val="24"/>
        </w:rPr>
      </w:pPr>
      <w:r>
        <w:rPr>
          <w:rFonts w:hint="eastAsia" w:eastAsiaTheme="minorEastAsia"/>
          <w:b/>
          <w:bCs/>
          <w:sz w:val="24"/>
        </w:rPr>
        <w:t>（一）合肥智慧物流基地一期建设项目</w:t>
      </w:r>
    </w:p>
    <w:p>
      <w:pPr>
        <w:spacing w:line="360" w:lineRule="auto"/>
        <w:ind w:firstLine="480" w:firstLineChars="200"/>
        <w:jc w:val="left"/>
        <w:rPr>
          <w:sz w:val="24"/>
        </w:rPr>
      </w:pPr>
      <w:r>
        <w:rPr>
          <w:rFonts w:hint="eastAsia" w:eastAsiaTheme="minorEastAsia"/>
          <w:sz w:val="24"/>
        </w:rPr>
        <w:t>根据公司《首次公开发行股票并在创业板上市招股说明书》，合肥智慧物流基地一期建设项目建设期为两年。在实施过程中，一方面项目的报批报建流程时间较原预期有所延长，另一方面项目建设早期因宏观经济因素影响了项目建设进度，后期公司对项目自动化方案进行了持续的优化与改进，从而影响了项目的整体实施进度。截至2023年6月30日，项目累计投入金额为19,438.42万元，募投资金投资进度为75.18%，该项目主体工程建设已完成，正在进行装修施工和设备订购，后续还需要进行设备到货安装、劳动培训及试生产、竣工验收、试运行、调试等工作，仍需要一定的周期。</w:t>
      </w:r>
    </w:p>
    <w:p>
      <w:pPr>
        <w:spacing w:line="360" w:lineRule="auto"/>
        <w:ind w:firstLine="480" w:firstLineChars="200"/>
        <w:rPr>
          <w:rFonts w:eastAsiaTheme="minorEastAsia"/>
          <w:sz w:val="24"/>
        </w:rPr>
      </w:pPr>
      <w:r>
        <w:rPr>
          <w:rFonts w:hint="eastAsia" w:eastAsiaTheme="minorEastAsia"/>
          <w:sz w:val="24"/>
        </w:rPr>
        <w:t>结合募投项目实施的实际情况，经公司审慎研究，决定调整该项目的实施进度，将达到预定可使用状态的日期变更为2</w:t>
      </w:r>
      <w:r>
        <w:rPr>
          <w:rFonts w:eastAsiaTheme="minorEastAsia"/>
          <w:sz w:val="24"/>
        </w:rPr>
        <w:t>02</w:t>
      </w:r>
      <w:r>
        <w:rPr>
          <w:rFonts w:hint="eastAsia" w:eastAsiaTheme="minorEastAsia"/>
          <w:sz w:val="24"/>
        </w:rPr>
        <w:t>4年4月30日。</w:t>
      </w:r>
    </w:p>
    <w:p>
      <w:pPr>
        <w:spacing w:before="156" w:beforeLines="50" w:after="156" w:afterLines="50" w:line="360" w:lineRule="auto"/>
        <w:ind w:firstLine="482" w:firstLineChars="200"/>
        <w:outlineLvl w:val="1"/>
        <w:rPr>
          <w:rFonts w:eastAsiaTheme="minorEastAsia"/>
          <w:b/>
          <w:bCs/>
          <w:sz w:val="24"/>
        </w:rPr>
      </w:pPr>
      <w:r>
        <w:rPr>
          <w:rFonts w:hint="eastAsia" w:eastAsiaTheme="minorEastAsia"/>
          <w:b/>
          <w:bCs/>
          <w:sz w:val="24"/>
        </w:rPr>
        <w:t>（二）深圳研发中心项目</w:t>
      </w:r>
    </w:p>
    <w:p>
      <w:pPr>
        <w:spacing w:line="360" w:lineRule="auto"/>
        <w:ind w:firstLine="480" w:firstLineChars="200"/>
        <w:jc w:val="left"/>
        <w:rPr>
          <w:rFonts w:asciiTheme="minorHAnsi" w:hAnsiTheme="minorHAnsi" w:cstheme="minorHAnsi"/>
          <w:spacing w:val="4"/>
          <w:sz w:val="24"/>
        </w:rPr>
      </w:pPr>
      <w:r>
        <w:rPr>
          <w:rFonts w:ascii="宋体" w:hAnsi="宋体" w:cs="宋体"/>
          <w:sz w:val="24"/>
        </w:rPr>
        <w:t>该项目为公司首次公开发行股票募集资金投资项目</w:t>
      </w:r>
      <w:r>
        <w:rPr>
          <w:rFonts w:hint="eastAsia" w:ascii="宋体" w:hAnsi="宋体" w:cs="宋体"/>
          <w:sz w:val="24"/>
        </w:rPr>
        <w:t>。</w:t>
      </w:r>
      <w:r>
        <w:rPr>
          <w:rFonts w:hint="eastAsia"/>
          <w:sz w:val="24"/>
        </w:rPr>
        <w:t>根据公司《首次公开发行股票并在创业板上市招股说明书</w:t>
      </w:r>
      <w:r>
        <w:rPr>
          <w:rFonts w:asciiTheme="minorHAnsi" w:hAnsiTheme="minorHAnsi" w:cstheme="minorHAnsi"/>
          <w:spacing w:val="4"/>
          <w:sz w:val="24"/>
        </w:rPr>
        <w:t>》，本项目规划购买办公楼作为研发中心，利用新建的研发场地，针对与公司主营业务相关的新技术和新产品进行开发，计划建设建筑面积约1,108平方米，建设期两年，总投资额14,829.23万元。</w:t>
      </w:r>
    </w:p>
    <w:p>
      <w:pPr>
        <w:spacing w:line="360" w:lineRule="auto"/>
        <w:ind w:firstLine="480" w:firstLineChars="200"/>
        <w:jc w:val="left"/>
        <w:rPr>
          <w:rFonts w:ascii="宋体" w:hAnsi="宋体" w:cs="宋体"/>
          <w:sz w:val="24"/>
        </w:rPr>
      </w:pPr>
      <w:r>
        <w:rPr>
          <w:rFonts w:hint="eastAsia" w:eastAsiaTheme="minorEastAsia"/>
          <w:sz w:val="24"/>
        </w:rPr>
        <w:t>由于原意向协议选取的研发中心大楼位置不便，公司最终未选择该地址，重新选址过程中项目延期，期间公司在原有供应链综合物流服务业务基础上已新增自动化集成项目等新的业务板块，由技术应用向技术输出转变，技术团队也进一步壮大，公司结合发展规划对研发中心募投项目进行优化。</w:t>
      </w:r>
      <w:r>
        <w:rPr>
          <w:rFonts w:ascii="宋体" w:hAnsi="宋体" w:cs="宋体"/>
          <w:sz w:val="24"/>
        </w:rPr>
        <w:t>为提高募集资金的使用效率，更好地保护投资者的利益，经公司审慎考虑，</w:t>
      </w:r>
      <w:r>
        <w:rPr>
          <w:rFonts w:hint="eastAsia" w:eastAsiaTheme="minorEastAsia"/>
          <w:sz w:val="24"/>
        </w:rPr>
        <w:t>决定调整该项目的实施进度，将达到预定可使用状态的日期变更为2</w:t>
      </w:r>
      <w:r>
        <w:rPr>
          <w:rFonts w:eastAsiaTheme="minorEastAsia"/>
          <w:sz w:val="24"/>
        </w:rPr>
        <w:t>02</w:t>
      </w:r>
      <w:r>
        <w:rPr>
          <w:rFonts w:hint="eastAsia" w:eastAsiaTheme="minorEastAsia"/>
          <w:sz w:val="24"/>
        </w:rPr>
        <w:t>4年8月31日。</w:t>
      </w:r>
    </w:p>
    <w:p>
      <w:pPr>
        <w:spacing w:before="156" w:beforeLines="50" w:after="156" w:afterLines="50" w:line="360" w:lineRule="auto"/>
        <w:ind w:firstLine="482" w:firstLineChars="200"/>
        <w:outlineLvl w:val="0"/>
        <w:rPr>
          <w:b/>
          <w:bCs/>
          <w:sz w:val="24"/>
        </w:rPr>
      </w:pPr>
      <w:r>
        <w:rPr>
          <w:rFonts w:hint="eastAsia"/>
          <w:b/>
          <w:bCs/>
          <w:sz w:val="24"/>
        </w:rPr>
        <w:t>三、本次部分募投项目进度调整对公司的影响</w:t>
      </w:r>
    </w:p>
    <w:p>
      <w:pPr>
        <w:spacing w:before="156" w:beforeLines="50" w:after="156" w:afterLines="50" w:line="360" w:lineRule="auto"/>
        <w:ind w:firstLine="480" w:firstLineChars="200"/>
        <w:rPr>
          <w:rFonts w:eastAsiaTheme="minorEastAsia"/>
          <w:sz w:val="24"/>
        </w:rPr>
      </w:pPr>
      <w:r>
        <w:rPr>
          <w:rFonts w:hint="eastAsia" w:eastAsiaTheme="minorEastAsia"/>
          <w:sz w:val="24"/>
        </w:rPr>
        <w:t>本次调整募投项目实施进度是公司根据项目实施的实际情况做出的谨慎决定，仅涉及该项目达到预定可使用状态时间的调整，募投项目实施主体、实施方式、募集资金投资用途及投资规模均未发生变更，项目实施的可行性未发生重大变化。公司将严格遵守《上市公司监管指引第</w:t>
      </w:r>
      <w:r>
        <w:rPr>
          <w:rFonts w:eastAsiaTheme="minorEastAsia"/>
          <w:sz w:val="24"/>
        </w:rPr>
        <w:t>2</w:t>
      </w:r>
      <w:r>
        <w:rPr>
          <w:rFonts w:hint="eastAsia" w:eastAsiaTheme="minorEastAsia"/>
          <w:sz w:val="24"/>
        </w:rPr>
        <w:t>号——上市公司募集资金管理和使用的监管要求》（以下简称“《上市公司募集资金管理和使用的监管要求》”）、《深圳证券交易所上市公司自律监管指引第</w:t>
      </w:r>
      <w:r>
        <w:rPr>
          <w:rFonts w:eastAsiaTheme="minorEastAsia"/>
          <w:sz w:val="24"/>
        </w:rPr>
        <w:t>2</w:t>
      </w:r>
      <w:r>
        <w:rPr>
          <w:rFonts w:hint="eastAsia" w:eastAsiaTheme="minorEastAsia"/>
          <w:sz w:val="24"/>
        </w:rPr>
        <w:t>号——创业板上市公司规范运作》（以下简称“《规范运作》”）、《深圳证券交易所创业板股票上市规则》（以下简称“《上市规则》”）以及公司《募集资金管理办法》等相关规定。募投项目延期后，不会对项目实施产生不利影响，不存在变相改变募集资金投向和损害股东利益的情形，公司将加强募集资金使用的内部与外部监督，确保募集资金使用的合法、有效。</w:t>
      </w:r>
    </w:p>
    <w:p>
      <w:pPr>
        <w:spacing w:before="156" w:beforeLines="50" w:after="156" w:afterLines="50" w:line="360" w:lineRule="auto"/>
        <w:ind w:firstLine="482" w:firstLineChars="200"/>
        <w:outlineLvl w:val="0"/>
        <w:rPr>
          <w:b/>
          <w:bCs/>
          <w:sz w:val="24"/>
        </w:rPr>
      </w:pPr>
      <w:r>
        <w:rPr>
          <w:rFonts w:hint="eastAsia"/>
          <w:b/>
          <w:bCs/>
          <w:sz w:val="24"/>
        </w:rPr>
        <w:t>四、履行的审批程序及相关意见</w:t>
      </w:r>
    </w:p>
    <w:p>
      <w:pPr>
        <w:spacing w:before="156" w:beforeLines="50" w:after="156" w:afterLines="50" w:line="360" w:lineRule="auto"/>
        <w:ind w:firstLine="482" w:firstLineChars="200"/>
        <w:outlineLvl w:val="1"/>
        <w:rPr>
          <w:rFonts w:eastAsiaTheme="minorEastAsia"/>
          <w:b/>
          <w:bCs/>
          <w:sz w:val="24"/>
        </w:rPr>
      </w:pPr>
      <w:r>
        <w:rPr>
          <w:rFonts w:hint="eastAsia" w:eastAsiaTheme="minorEastAsia"/>
          <w:b/>
          <w:bCs/>
          <w:sz w:val="24"/>
        </w:rPr>
        <w:t>（一）董事会审议情况</w:t>
      </w:r>
    </w:p>
    <w:p>
      <w:pPr>
        <w:spacing w:before="156" w:beforeLines="50" w:after="156" w:afterLines="50" w:line="360" w:lineRule="auto"/>
        <w:ind w:firstLine="480" w:firstLineChars="200"/>
        <w:rPr>
          <w:rFonts w:eastAsiaTheme="minorEastAsia"/>
          <w:sz w:val="24"/>
        </w:rPr>
      </w:pPr>
      <w:r>
        <w:rPr>
          <w:rFonts w:hint="eastAsia" w:eastAsiaTheme="minorEastAsia"/>
          <w:sz w:val="24"/>
        </w:rPr>
        <w:t>经审议，董事会认为：公司调整部分募投项目实施进度，符合《上市公司募集资金管理和使用的监管要求》《规范运作》《上市规则》等法律法规、规范性文件及《公司章程》等规定，不会对募投项目的实施产生实质性影响，不会对公司当前的生产经营造成重大影响，不存在变相改变募集资金投向和损害股东利益的情形。因此，董事会同意调整部分募投项目实施进度。</w:t>
      </w:r>
    </w:p>
    <w:p>
      <w:pPr>
        <w:spacing w:before="156" w:beforeLines="50" w:after="156" w:afterLines="50" w:line="360" w:lineRule="auto"/>
        <w:ind w:firstLine="482" w:firstLineChars="200"/>
        <w:outlineLvl w:val="1"/>
        <w:rPr>
          <w:rFonts w:eastAsiaTheme="minorEastAsia"/>
          <w:b/>
          <w:bCs/>
          <w:sz w:val="24"/>
        </w:rPr>
      </w:pPr>
      <w:r>
        <w:rPr>
          <w:rFonts w:hint="eastAsia" w:eastAsiaTheme="minorEastAsia"/>
          <w:b/>
          <w:bCs/>
          <w:sz w:val="24"/>
        </w:rPr>
        <w:t>（二）独立董事意见</w:t>
      </w:r>
    </w:p>
    <w:p>
      <w:pPr>
        <w:spacing w:before="156" w:beforeLines="50" w:after="156" w:afterLines="50" w:line="360" w:lineRule="auto"/>
        <w:ind w:firstLine="480" w:firstLineChars="200"/>
        <w:rPr>
          <w:rFonts w:eastAsiaTheme="minorEastAsia"/>
          <w:sz w:val="24"/>
        </w:rPr>
      </w:pPr>
      <w:r>
        <w:rPr>
          <w:rFonts w:hint="eastAsia" w:eastAsiaTheme="minorEastAsia"/>
          <w:sz w:val="24"/>
        </w:rPr>
        <w:t>独立董事认为：</w:t>
      </w:r>
      <w:r>
        <w:rPr>
          <w:rFonts w:eastAsiaTheme="minorEastAsia"/>
          <w:color w:val="000000"/>
          <w:sz w:val="24"/>
        </w:rPr>
        <w:t>公司本次变更部分募集资金投资项目的实施进度符合</w:t>
      </w:r>
      <w:r>
        <w:rPr>
          <w:rFonts w:hint="eastAsia" w:eastAsiaTheme="minorEastAsia"/>
          <w:color w:val="000000"/>
          <w:sz w:val="24"/>
        </w:rPr>
        <w:t>《上市公司监管指引第</w:t>
      </w:r>
      <w:r>
        <w:rPr>
          <w:rFonts w:eastAsiaTheme="minorEastAsia"/>
          <w:color w:val="000000"/>
          <w:sz w:val="24"/>
        </w:rPr>
        <w:t>2</w:t>
      </w:r>
      <w:r>
        <w:rPr>
          <w:rFonts w:hint="eastAsia" w:eastAsiaTheme="minorEastAsia"/>
          <w:color w:val="000000"/>
          <w:sz w:val="24"/>
        </w:rPr>
        <w:t>号—上市公司募集资金管理和使用的监管要求》、</w:t>
      </w:r>
      <w:r>
        <w:rPr>
          <w:rFonts w:hint="eastAsia" w:eastAsiaTheme="minorEastAsia"/>
          <w:sz w:val="24"/>
        </w:rPr>
        <w:t>《规范运作》</w:t>
      </w:r>
      <w:r>
        <w:rPr>
          <w:rFonts w:eastAsiaTheme="minorEastAsia"/>
          <w:color w:val="000000"/>
          <w:sz w:val="24"/>
        </w:rPr>
        <w:t>和公司《募集资金使用管理制度》等的相关规定，且履行了必要的法定审批程序。公司本次变更部分募集资金投资项目实施进度符合公司实际情况，</w:t>
      </w:r>
      <w:r>
        <w:rPr>
          <w:rFonts w:hint="eastAsia" w:eastAsiaTheme="minorEastAsia"/>
          <w:sz w:val="24"/>
        </w:rPr>
        <w:t>募投项目实施主体、实施方式、募集资金投资用途及投资规模均未发生变更，不存在变相改变募集资金用途和损害中小股东利益的情况</w:t>
      </w:r>
      <w:r>
        <w:rPr>
          <w:rFonts w:eastAsiaTheme="minorEastAsia"/>
          <w:color w:val="000000"/>
          <w:sz w:val="24"/>
        </w:rPr>
        <w:t>，符合公司发展</w:t>
      </w:r>
      <w:r>
        <w:rPr>
          <w:rFonts w:hint="eastAsia" w:eastAsiaTheme="minorEastAsia"/>
          <w:color w:val="000000"/>
          <w:sz w:val="24"/>
        </w:rPr>
        <w:t>规划</w:t>
      </w:r>
      <w:r>
        <w:rPr>
          <w:rFonts w:eastAsiaTheme="minorEastAsia"/>
          <w:color w:val="000000"/>
          <w:sz w:val="24"/>
        </w:rPr>
        <w:t>及全体股东利益。同意公司本次变更部分募集资金投资项目的实施进度事项。</w:t>
      </w:r>
    </w:p>
    <w:p>
      <w:pPr>
        <w:spacing w:before="156" w:beforeLines="50" w:after="156" w:afterLines="50" w:line="360" w:lineRule="auto"/>
        <w:ind w:firstLine="482" w:firstLineChars="200"/>
        <w:outlineLvl w:val="1"/>
        <w:rPr>
          <w:rFonts w:eastAsiaTheme="minorEastAsia"/>
          <w:sz w:val="24"/>
        </w:rPr>
      </w:pPr>
      <w:r>
        <w:rPr>
          <w:rFonts w:hint="eastAsia" w:eastAsiaTheme="minorEastAsia"/>
          <w:b/>
          <w:bCs/>
          <w:sz w:val="24"/>
        </w:rPr>
        <w:t>（三）监事会审议情况</w:t>
      </w:r>
    </w:p>
    <w:p>
      <w:pPr>
        <w:spacing w:before="156" w:beforeLines="50" w:after="156" w:afterLines="50" w:line="360" w:lineRule="auto"/>
        <w:ind w:firstLine="480" w:firstLineChars="200"/>
        <w:rPr>
          <w:rFonts w:eastAsiaTheme="minorEastAsia"/>
          <w:sz w:val="24"/>
        </w:rPr>
      </w:pPr>
      <w:r>
        <w:rPr>
          <w:rFonts w:hint="eastAsia" w:eastAsiaTheme="minorEastAsia"/>
          <w:sz w:val="24"/>
        </w:rPr>
        <w:t>经审议，监事会认为：公司调整部分募投项目实施进度，是基于项目实际情况需要做出的决策，有利于项目优化，符合公司业务发展及未来规划，不存在损害公司及全体股东利益的情形。审议程序符合《上市公司募集资金管理和使用的监管要求》《规范运作》《上市规则》等法律法规、规范性文件及《公司章程》等规定。因此，监事会同意公司调整部分募投项目实施进度。</w:t>
      </w:r>
    </w:p>
    <w:p>
      <w:pPr>
        <w:spacing w:before="156" w:beforeLines="50" w:after="156" w:afterLines="50" w:line="360" w:lineRule="auto"/>
        <w:ind w:firstLine="482" w:firstLineChars="200"/>
        <w:outlineLvl w:val="1"/>
        <w:rPr>
          <w:rFonts w:eastAsiaTheme="minorEastAsia"/>
          <w:b/>
          <w:bCs/>
          <w:sz w:val="24"/>
        </w:rPr>
      </w:pPr>
      <w:r>
        <w:rPr>
          <w:rFonts w:hint="eastAsia" w:eastAsiaTheme="minorEastAsia"/>
          <w:b/>
          <w:bCs/>
          <w:sz w:val="24"/>
        </w:rPr>
        <w:t>（四）保荐机构意见</w:t>
      </w:r>
    </w:p>
    <w:p>
      <w:pPr>
        <w:spacing w:before="156" w:beforeLines="50" w:after="156" w:afterLines="50" w:line="360" w:lineRule="auto"/>
        <w:ind w:firstLine="480" w:firstLineChars="200"/>
        <w:rPr>
          <w:rFonts w:eastAsiaTheme="minorEastAsia"/>
          <w:sz w:val="24"/>
        </w:rPr>
      </w:pPr>
      <w:r>
        <w:rPr>
          <w:rFonts w:hint="eastAsia" w:eastAsiaTheme="minorEastAsia"/>
          <w:sz w:val="24"/>
        </w:rPr>
        <w:t>经核查，保荐机构认为：海晨股份本次调整部分募投项目实施进度已经公司董事会、监事会审议通过，且独立董事已发表了同意意见，履行了必要的审议程序，符合《上市公司募集资金管理和使用的监管要求》《规范运作》《股票上市规则》等相关法律法规的规定，不存在变相改变募集资金投向和损害股东利益的情形。因此，保荐机构对海晨股份本次部分调整部分募投项目实施进度事项无异议。</w:t>
      </w:r>
    </w:p>
    <w:p>
      <w:pPr>
        <w:spacing w:before="156" w:beforeLines="50" w:after="156" w:afterLines="50" w:line="360" w:lineRule="auto"/>
        <w:ind w:firstLine="482" w:firstLineChars="200"/>
        <w:outlineLvl w:val="0"/>
        <w:rPr>
          <w:b/>
          <w:bCs/>
          <w:sz w:val="24"/>
        </w:rPr>
      </w:pPr>
      <w:r>
        <w:rPr>
          <w:rFonts w:hint="eastAsia"/>
          <w:b/>
          <w:bCs/>
          <w:sz w:val="24"/>
        </w:rPr>
        <w:t>六、备查文件</w:t>
      </w:r>
    </w:p>
    <w:p>
      <w:pPr>
        <w:spacing w:line="360" w:lineRule="auto"/>
        <w:ind w:firstLine="480" w:firstLineChars="200"/>
        <w:rPr>
          <w:rFonts w:eastAsiaTheme="minorEastAsia"/>
          <w:sz w:val="24"/>
        </w:rPr>
      </w:pPr>
      <w:r>
        <w:rPr>
          <w:rFonts w:eastAsiaTheme="minorEastAsia"/>
          <w:sz w:val="24"/>
        </w:rPr>
        <w:t>1</w:t>
      </w:r>
      <w:r>
        <w:rPr>
          <w:rFonts w:hint="eastAsia" w:eastAsiaTheme="minorEastAsia"/>
          <w:sz w:val="24"/>
        </w:rPr>
        <w:t>、江苏海晨物流股份有限公司第三届董事会第十次会议决议；</w:t>
      </w:r>
    </w:p>
    <w:p>
      <w:pPr>
        <w:spacing w:line="360" w:lineRule="auto"/>
        <w:ind w:firstLine="480" w:firstLineChars="200"/>
        <w:rPr>
          <w:rFonts w:eastAsiaTheme="minorEastAsia"/>
          <w:sz w:val="24"/>
        </w:rPr>
      </w:pPr>
      <w:r>
        <w:rPr>
          <w:rFonts w:eastAsiaTheme="minorEastAsia"/>
          <w:sz w:val="24"/>
        </w:rPr>
        <w:t>2</w:t>
      </w:r>
      <w:r>
        <w:rPr>
          <w:rFonts w:hint="eastAsia" w:eastAsiaTheme="minorEastAsia"/>
          <w:sz w:val="24"/>
        </w:rPr>
        <w:t>、江苏海晨物流股份有限公司第三届监事会第十次会议决议；</w:t>
      </w:r>
    </w:p>
    <w:p>
      <w:pPr>
        <w:spacing w:line="360" w:lineRule="auto"/>
        <w:ind w:firstLine="480" w:firstLineChars="200"/>
        <w:rPr>
          <w:rFonts w:eastAsiaTheme="minorEastAsia"/>
          <w:sz w:val="24"/>
        </w:rPr>
      </w:pPr>
      <w:r>
        <w:rPr>
          <w:rFonts w:eastAsiaTheme="minorEastAsia"/>
          <w:sz w:val="24"/>
        </w:rPr>
        <w:t>3</w:t>
      </w:r>
      <w:r>
        <w:rPr>
          <w:rFonts w:hint="eastAsia" w:eastAsiaTheme="minorEastAsia"/>
          <w:sz w:val="24"/>
        </w:rPr>
        <w:t>、独立董事关于第三届董事会第十次会议相关事项的独立意见；</w:t>
      </w:r>
    </w:p>
    <w:p>
      <w:pPr>
        <w:spacing w:line="360" w:lineRule="auto"/>
        <w:ind w:firstLine="480" w:firstLineChars="200"/>
        <w:rPr>
          <w:rFonts w:eastAsiaTheme="minorEastAsia"/>
          <w:sz w:val="24"/>
        </w:rPr>
      </w:pPr>
      <w:r>
        <w:rPr>
          <w:rFonts w:eastAsiaTheme="minorEastAsia"/>
          <w:sz w:val="24"/>
        </w:rPr>
        <w:t>4</w:t>
      </w:r>
      <w:r>
        <w:rPr>
          <w:rFonts w:hint="eastAsia" w:eastAsiaTheme="minorEastAsia"/>
          <w:sz w:val="24"/>
        </w:rPr>
        <w:t>、东方证券承销保荐有限公司关于江苏海晨物流股份有限公司调整部分募投项目实施进度的核查意见。</w:t>
      </w:r>
    </w:p>
    <w:p>
      <w:pPr>
        <w:spacing w:line="360" w:lineRule="auto"/>
        <w:ind w:firstLine="480" w:firstLineChars="200"/>
        <w:rPr>
          <w:rFonts w:eastAsiaTheme="minorEastAsia"/>
          <w:sz w:val="24"/>
        </w:rPr>
      </w:pPr>
      <w:r>
        <w:rPr>
          <w:rFonts w:hint="eastAsia" w:eastAsiaTheme="minorEastAsia"/>
          <w:sz w:val="24"/>
        </w:rPr>
        <w:t>特此公告。</w:t>
      </w:r>
    </w:p>
    <w:p>
      <w:pPr>
        <w:spacing w:line="360" w:lineRule="auto"/>
        <w:ind w:firstLine="482" w:firstLineChars="200"/>
        <w:jc w:val="right"/>
        <w:rPr>
          <w:rFonts w:hint="eastAsia" w:eastAsiaTheme="minorEastAsia"/>
          <w:b/>
          <w:bCs/>
          <w:sz w:val="24"/>
        </w:rPr>
      </w:pPr>
    </w:p>
    <w:p>
      <w:pPr>
        <w:spacing w:line="360" w:lineRule="auto"/>
        <w:ind w:firstLine="482" w:firstLineChars="200"/>
        <w:jc w:val="right"/>
        <w:rPr>
          <w:rFonts w:eastAsiaTheme="minorEastAsia"/>
          <w:b/>
          <w:bCs/>
          <w:sz w:val="24"/>
        </w:rPr>
      </w:pPr>
      <w:r>
        <w:rPr>
          <w:rFonts w:hint="eastAsia" w:eastAsiaTheme="minorEastAsia"/>
          <w:b/>
          <w:bCs/>
          <w:sz w:val="24"/>
        </w:rPr>
        <w:t>江苏海晨物流股份有限公司</w:t>
      </w:r>
    </w:p>
    <w:p>
      <w:pPr>
        <w:spacing w:line="360" w:lineRule="auto"/>
        <w:ind w:firstLine="482" w:firstLineChars="200"/>
        <w:jc w:val="right"/>
        <w:rPr>
          <w:rFonts w:eastAsiaTheme="minorEastAsia"/>
          <w:b/>
          <w:bCs/>
          <w:sz w:val="24"/>
        </w:rPr>
      </w:pPr>
      <w:r>
        <w:rPr>
          <w:rFonts w:hint="eastAsia" w:eastAsiaTheme="minorEastAsia"/>
          <w:b/>
          <w:bCs/>
          <w:sz w:val="24"/>
        </w:rPr>
        <w:t>董事会</w:t>
      </w:r>
    </w:p>
    <w:p>
      <w:pPr>
        <w:spacing w:line="360" w:lineRule="auto"/>
        <w:ind w:firstLine="482" w:firstLineChars="200"/>
        <w:jc w:val="right"/>
        <w:rPr>
          <w:rFonts w:eastAsiaTheme="minorEastAsia"/>
          <w:b/>
          <w:bCs/>
          <w:sz w:val="24"/>
        </w:rPr>
      </w:pPr>
      <w:r>
        <w:rPr>
          <w:rFonts w:hint="eastAsia" w:eastAsiaTheme="minorEastAsia"/>
          <w:b/>
          <w:bCs/>
          <w:sz w:val="24"/>
        </w:rPr>
        <w:t>2023年8月26日</w:t>
      </w:r>
    </w:p>
    <w:sectPr>
      <w:headerReference r:id="rId3" w:type="default"/>
      <w:footerReference r:id="rId4"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0851200"/>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172A27"/>
    <w:rsid w:val="00012C17"/>
    <w:rsid w:val="00021A4F"/>
    <w:rsid w:val="000845DF"/>
    <w:rsid w:val="00093F01"/>
    <w:rsid w:val="000A60F1"/>
    <w:rsid w:val="000C4CB8"/>
    <w:rsid w:val="000C59BE"/>
    <w:rsid w:val="000D20A1"/>
    <w:rsid w:val="000E0168"/>
    <w:rsid w:val="000E76E7"/>
    <w:rsid w:val="00102133"/>
    <w:rsid w:val="001179E6"/>
    <w:rsid w:val="0012045E"/>
    <w:rsid w:val="00131ED7"/>
    <w:rsid w:val="0015688F"/>
    <w:rsid w:val="00172A27"/>
    <w:rsid w:val="001B1A99"/>
    <w:rsid w:val="001D3243"/>
    <w:rsid w:val="001E78C4"/>
    <w:rsid w:val="0021434A"/>
    <w:rsid w:val="002425EA"/>
    <w:rsid w:val="002A4CFC"/>
    <w:rsid w:val="002A7641"/>
    <w:rsid w:val="002B3D9A"/>
    <w:rsid w:val="002C2E45"/>
    <w:rsid w:val="002E3F95"/>
    <w:rsid w:val="00324E77"/>
    <w:rsid w:val="0039233E"/>
    <w:rsid w:val="003A2B5A"/>
    <w:rsid w:val="003B6FB3"/>
    <w:rsid w:val="003D08D7"/>
    <w:rsid w:val="003E755B"/>
    <w:rsid w:val="004037EA"/>
    <w:rsid w:val="00423058"/>
    <w:rsid w:val="00423F1C"/>
    <w:rsid w:val="00427D9D"/>
    <w:rsid w:val="00487638"/>
    <w:rsid w:val="004B0EAD"/>
    <w:rsid w:val="004C583D"/>
    <w:rsid w:val="004D64FB"/>
    <w:rsid w:val="00512565"/>
    <w:rsid w:val="0052265D"/>
    <w:rsid w:val="0052395E"/>
    <w:rsid w:val="0053664E"/>
    <w:rsid w:val="005627FD"/>
    <w:rsid w:val="005763AE"/>
    <w:rsid w:val="00597144"/>
    <w:rsid w:val="005A1278"/>
    <w:rsid w:val="005B4F8D"/>
    <w:rsid w:val="005D3824"/>
    <w:rsid w:val="005D4A91"/>
    <w:rsid w:val="005D7DD1"/>
    <w:rsid w:val="0062436C"/>
    <w:rsid w:val="0064674D"/>
    <w:rsid w:val="00672681"/>
    <w:rsid w:val="00681C0E"/>
    <w:rsid w:val="006869BC"/>
    <w:rsid w:val="006D4F57"/>
    <w:rsid w:val="0070517B"/>
    <w:rsid w:val="00706287"/>
    <w:rsid w:val="0071149D"/>
    <w:rsid w:val="00712804"/>
    <w:rsid w:val="007211F3"/>
    <w:rsid w:val="007306D3"/>
    <w:rsid w:val="00736EE7"/>
    <w:rsid w:val="00746E90"/>
    <w:rsid w:val="007559EB"/>
    <w:rsid w:val="0077427F"/>
    <w:rsid w:val="00785102"/>
    <w:rsid w:val="007C637A"/>
    <w:rsid w:val="007D6145"/>
    <w:rsid w:val="007D6C3D"/>
    <w:rsid w:val="007E0908"/>
    <w:rsid w:val="007E1987"/>
    <w:rsid w:val="00801D9A"/>
    <w:rsid w:val="00815491"/>
    <w:rsid w:val="00816763"/>
    <w:rsid w:val="00847CB8"/>
    <w:rsid w:val="0085518B"/>
    <w:rsid w:val="00883153"/>
    <w:rsid w:val="008876E1"/>
    <w:rsid w:val="008B3132"/>
    <w:rsid w:val="008F32F5"/>
    <w:rsid w:val="00910344"/>
    <w:rsid w:val="00914FEE"/>
    <w:rsid w:val="0092627D"/>
    <w:rsid w:val="00960BC3"/>
    <w:rsid w:val="00972321"/>
    <w:rsid w:val="009841A2"/>
    <w:rsid w:val="009A0848"/>
    <w:rsid w:val="009A3119"/>
    <w:rsid w:val="009C7A99"/>
    <w:rsid w:val="009E73EC"/>
    <w:rsid w:val="00A1418D"/>
    <w:rsid w:val="00A26422"/>
    <w:rsid w:val="00A468CE"/>
    <w:rsid w:val="00A81873"/>
    <w:rsid w:val="00A856C7"/>
    <w:rsid w:val="00A8780B"/>
    <w:rsid w:val="00A9130F"/>
    <w:rsid w:val="00AC28C8"/>
    <w:rsid w:val="00AC4995"/>
    <w:rsid w:val="00AC5A8A"/>
    <w:rsid w:val="00AD203A"/>
    <w:rsid w:val="00AD79CC"/>
    <w:rsid w:val="00AE3EAA"/>
    <w:rsid w:val="00AE7C9E"/>
    <w:rsid w:val="00AF4AD5"/>
    <w:rsid w:val="00AF7D84"/>
    <w:rsid w:val="00B1777E"/>
    <w:rsid w:val="00B20015"/>
    <w:rsid w:val="00B3543F"/>
    <w:rsid w:val="00B37D30"/>
    <w:rsid w:val="00B81646"/>
    <w:rsid w:val="00BA0D96"/>
    <w:rsid w:val="00BB5322"/>
    <w:rsid w:val="00BD79FA"/>
    <w:rsid w:val="00BF28D3"/>
    <w:rsid w:val="00C03578"/>
    <w:rsid w:val="00C03B9E"/>
    <w:rsid w:val="00C250F3"/>
    <w:rsid w:val="00C512D2"/>
    <w:rsid w:val="00C530D7"/>
    <w:rsid w:val="00C5397F"/>
    <w:rsid w:val="00C56990"/>
    <w:rsid w:val="00C93AED"/>
    <w:rsid w:val="00CB46DC"/>
    <w:rsid w:val="00CB6D85"/>
    <w:rsid w:val="00CF5B59"/>
    <w:rsid w:val="00D262D3"/>
    <w:rsid w:val="00D46282"/>
    <w:rsid w:val="00D47AED"/>
    <w:rsid w:val="00D62EE2"/>
    <w:rsid w:val="00D63971"/>
    <w:rsid w:val="00D71695"/>
    <w:rsid w:val="00D87D4D"/>
    <w:rsid w:val="00D97657"/>
    <w:rsid w:val="00DB0AEF"/>
    <w:rsid w:val="00DB4700"/>
    <w:rsid w:val="00DC0025"/>
    <w:rsid w:val="00E31EA4"/>
    <w:rsid w:val="00E365AF"/>
    <w:rsid w:val="00E41965"/>
    <w:rsid w:val="00E721A1"/>
    <w:rsid w:val="00E771AB"/>
    <w:rsid w:val="00E77624"/>
    <w:rsid w:val="00E8192F"/>
    <w:rsid w:val="00E97432"/>
    <w:rsid w:val="00EC383A"/>
    <w:rsid w:val="00F019DA"/>
    <w:rsid w:val="00F228D6"/>
    <w:rsid w:val="00F25B88"/>
    <w:rsid w:val="00F60744"/>
    <w:rsid w:val="00F93E85"/>
    <w:rsid w:val="00FB0C03"/>
    <w:rsid w:val="00FB35C5"/>
    <w:rsid w:val="00FC5F9A"/>
    <w:rsid w:val="00FD28F9"/>
    <w:rsid w:val="00FE0CF8"/>
    <w:rsid w:val="02897931"/>
    <w:rsid w:val="055A55B4"/>
    <w:rsid w:val="10C214CF"/>
    <w:rsid w:val="11CC15E8"/>
    <w:rsid w:val="14B811E1"/>
    <w:rsid w:val="218D48F0"/>
    <w:rsid w:val="26282E39"/>
    <w:rsid w:val="2E1B3283"/>
    <w:rsid w:val="30682179"/>
    <w:rsid w:val="36465D09"/>
    <w:rsid w:val="46325C79"/>
    <w:rsid w:val="4726426B"/>
    <w:rsid w:val="49ED72FA"/>
    <w:rsid w:val="4CEF5BAF"/>
    <w:rsid w:val="4DC82688"/>
    <w:rsid w:val="4F3A0F52"/>
    <w:rsid w:val="51B64EEE"/>
    <w:rsid w:val="539917A2"/>
    <w:rsid w:val="573C40E7"/>
    <w:rsid w:val="58AE2DC2"/>
    <w:rsid w:val="5AC42429"/>
    <w:rsid w:val="5F8577C8"/>
    <w:rsid w:val="6BAF60F7"/>
    <w:rsid w:val="6CF748E0"/>
    <w:rsid w:val="6F7044D6"/>
    <w:rsid w:val="73FB423D"/>
    <w:rsid w:val="75F429D6"/>
    <w:rsid w:val="76607052"/>
    <w:rsid w:val="77A86F03"/>
    <w:rsid w:val="7964486B"/>
    <w:rsid w:val="79C63E43"/>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unhideWhenUsed/>
    <w:qFormat/>
    <w:uiPriority w:val="9"/>
    <w:pPr>
      <w:keepNext/>
      <w:keepLines/>
      <w:spacing w:before="240" w:after="240" w:line="360" w:lineRule="auto"/>
      <w:ind w:firstLine="200" w:firstLineChars="200"/>
      <w:outlineLvl w:val="1"/>
    </w:pPr>
    <w:rPr>
      <w:b/>
      <w:bCs/>
      <w:sz w:val="24"/>
      <w:szCs w:val="32"/>
    </w:rPr>
  </w:style>
  <w:style w:type="paragraph" w:styleId="3">
    <w:name w:val="heading 3"/>
    <w:basedOn w:val="1"/>
    <w:next w:val="1"/>
    <w:link w:val="14"/>
    <w:unhideWhenUsed/>
    <w:qFormat/>
    <w:uiPriority w:val="9"/>
    <w:pPr>
      <w:keepNext/>
      <w:keepLines/>
      <w:spacing w:before="240" w:after="240" w:line="360" w:lineRule="auto"/>
      <w:ind w:firstLine="200" w:firstLineChars="200"/>
      <w:outlineLvl w:val="2"/>
    </w:pPr>
    <w:rPr>
      <w:b/>
      <w:bCs/>
      <w:sz w:val="24"/>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spacing w:line="48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8"/>
    <w:link w:val="5"/>
    <w:qFormat/>
    <w:uiPriority w:val="0"/>
    <w:rPr>
      <w:rFonts w:ascii="Times New Roman" w:hAnsi="Times New Roman" w:eastAsia="宋体" w:cs="Times New Roman"/>
      <w:sz w:val="18"/>
      <w:szCs w:val="18"/>
    </w:r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2">
    <w:name w:val="页脚 字符"/>
    <w:basedOn w:val="8"/>
    <w:link w:val="4"/>
    <w:qFormat/>
    <w:uiPriority w:val="99"/>
    <w:rPr>
      <w:rFonts w:ascii="Times New Roman" w:hAnsi="Times New Roman" w:eastAsia="宋体" w:cs="Times New Roman"/>
      <w:sz w:val="18"/>
      <w:szCs w:val="18"/>
    </w:rPr>
  </w:style>
  <w:style w:type="character" w:customStyle="1" w:styleId="13">
    <w:name w:val="标题 2 字符"/>
    <w:basedOn w:val="8"/>
    <w:link w:val="2"/>
    <w:qFormat/>
    <w:uiPriority w:val="9"/>
    <w:rPr>
      <w:rFonts w:ascii="Times New Roman" w:hAnsi="Times New Roman" w:eastAsia="宋体" w:cs="Times New Roman"/>
      <w:b/>
      <w:bCs/>
      <w:sz w:val="24"/>
      <w:szCs w:val="32"/>
    </w:rPr>
  </w:style>
  <w:style w:type="character" w:customStyle="1" w:styleId="14">
    <w:name w:val="标题 3 字符"/>
    <w:basedOn w:val="8"/>
    <w:link w:val="3"/>
    <w:qFormat/>
    <w:uiPriority w:val="9"/>
    <w:rPr>
      <w:rFonts w:ascii="Times New Roman" w:hAnsi="Times New Roman" w:eastAsia="宋体" w:cs="Times New Roman"/>
      <w:b/>
      <w:bCs/>
      <w:sz w:val="24"/>
      <w:szCs w:val="32"/>
    </w:rPr>
  </w:style>
  <w:style w:type="paragraph" w:customStyle="1" w:styleId="15">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TZ Workstation</Company>
  <Pages>5</Pages>
  <Words>2996</Words>
  <Characters>3265</Characters>
  <Lines>23</Lines>
  <Paragraphs>6</Paragraphs>
  <TotalTime>1</TotalTime>
  <ScaleCrop>false</ScaleCrop>
  <LinksUpToDate>false</LinksUpToDate>
  <CharactersWithSpaces>3287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2022-07-11T06:49:00Z</dcterms:created>
  <dc:creator>Huang Zenghao</dc:creator>
  <cp:lastModifiedBy>Leanne</cp:lastModifiedBy>
  <dcterms:modified xsi:type="dcterms:W3CDTF">2023-08-25T09:15:54Z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EEC07EADE4A24A199C3FE3ED39AFD3E0_12</vt:lpwstr>
  </property>
</Properties>
</file>